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267DB" w14:textId="77777777" w:rsidR="003306A3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848C7">
        <w:rPr>
          <w:rFonts w:ascii="TH SarabunPSK" w:hAnsi="TH SarabunPSK" w:cs="TH SarabunPSK"/>
          <w:b/>
          <w:bCs/>
          <w:sz w:val="40"/>
          <w:szCs w:val="40"/>
          <w:cs/>
        </w:rPr>
        <w:t>แบบติดตามผลการดำเนินงานตามแผนบริหารความเสี่ยงมหาวิทยาลัยเทคโนโลยีสุรนารี</w:t>
      </w:r>
    </w:p>
    <w:p w14:paraId="5BF730EC" w14:textId="4FE0E6DC" w:rsidR="008564EF" w:rsidRDefault="008564EF" w:rsidP="008564E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564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ความเสี่ยงประเภท </w:t>
      </w:r>
      <w:r w:rsidR="00DE566E">
        <w:rPr>
          <w:rFonts w:ascii="TH SarabunPSK" w:hAnsi="TH SarabunPSK" w:cs="TH SarabunPSK"/>
          <w:b/>
          <w:bCs/>
          <w:sz w:val="36"/>
          <w:szCs w:val="36"/>
        </w:rPr>
        <w:t>P</w:t>
      </w:r>
      <w:r w:rsidRPr="008564EF">
        <w:rPr>
          <w:rFonts w:ascii="TH SarabunPSK" w:hAnsi="TH SarabunPSK" w:cs="TH SarabunPSK"/>
          <w:b/>
          <w:bCs/>
          <w:sz w:val="36"/>
          <w:szCs w:val="36"/>
        </w:rPr>
        <w:t xml:space="preserve"> : </w:t>
      </w:r>
      <w:r w:rsidR="00DE566E" w:rsidRPr="00DE566E">
        <w:rPr>
          <w:rFonts w:ascii="TH SarabunPSK" w:hAnsi="TH SarabunPSK" w:cs="TH SarabunPSK"/>
          <w:b/>
          <w:bCs/>
          <w:sz w:val="36"/>
          <w:szCs w:val="36"/>
        </w:rPr>
        <w:t xml:space="preserve">Personal Risk </w:t>
      </w:r>
      <w:r w:rsidRPr="008564EF">
        <w:rPr>
          <w:rFonts w:ascii="TH SarabunPSK" w:hAnsi="TH SarabunPSK" w:cs="TH SarabunPSK"/>
          <w:b/>
          <w:bCs/>
          <w:sz w:val="36"/>
          <w:szCs w:val="36"/>
          <w:cs/>
        </w:rPr>
        <w:t>ประเด็นเรื่อง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“</w:t>
      </w:r>
      <w:r w:rsidR="00487E6B" w:rsidRPr="00487E6B">
        <w:rPr>
          <w:rFonts w:ascii="TH SarabunPSK" w:hAnsi="TH SarabunPSK" w:cs="TH SarabunPSK"/>
          <w:b/>
          <w:bCs/>
          <w:color w:val="00204F"/>
          <w:sz w:val="36"/>
          <w:szCs w:val="36"/>
          <w:cs/>
        </w:rPr>
        <w:t>การบริหารจัดการทรัพยากรบุคคลไม่สอดคล้องกับการเปลี่ยนแปลงขององค์กร และการสืบทอดตำแหน่ง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>”</w:t>
      </w:r>
    </w:p>
    <w:p w14:paraId="351CAB05" w14:textId="68F199AA" w:rsidR="008564EF" w:rsidRPr="00704EE0" w:rsidRDefault="008564EF" w:rsidP="008564EF">
      <w:pPr>
        <w:rPr>
          <w:rFonts w:ascii="TH SarabunPSK" w:hAnsi="TH SarabunPSK" w:cs="TH SarabunPSK"/>
          <w:color w:val="590000"/>
          <w:sz w:val="32"/>
          <w:szCs w:val="32"/>
          <w:cs/>
        </w:rPr>
      </w:pPr>
      <w:r w:rsidRPr="00704EE0">
        <w:rPr>
          <w:rFonts w:ascii="TH SarabunPSK" w:hAnsi="TH SarabunPSK" w:cs="TH SarabunPSK"/>
          <w:color w:val="590000"/>
          <w:sz w:val="32"/>
          <w:szCs w:val="32"/>
        </w:rPr>
        <w:t>(</w:t>
      </w:r>
      <w:proofErr w:type="gramStart"/>
      <w:r w:rsidRPr="00704EE0">
        <w:rPr>
          <w:rFonts w:ascii="TH SarabunPSK" w:hAnsi="TH SarabunPSK" w:cs="TH SarabunPSK"/>
          <w:color w:val="590000"/>
          <w:sz w:val="32"/>
          <w:szCs w:val="32"/>
          <w:cs/>
        </w:rPr>
        <w:t>ผู้รับผิดชอบ :</w:t>
      </w:r>
      <w:proofErr w:type="gramEnd"/>
      <w:r w:rsidRPr="00704EE0">
        <w:rPr>
          <w:rFonts w:ascii="TH SarabunPSK" w:hAnsi="TH SarabunPSK" w:cs="TH SarabunPSK"/>
          <w:color w:val="590000"/>
          <w:sz w:val="32"/>
          <w:szCs w:val="32"/>
          <w:cs/>
        </w:rPr>
        <w:t xml:space="preserve"> </w:t>
      </w:r>
      <w:r w:rsidR="00DE566E" w:rsidRPr="00DE566E">
        <w:rPr>
          <w:rFonts w:ascii="TH SarabunPSK" w:hAnsi="TH SarabunPSK" w:cs="TH SarabunPSK"/>
          <w:color w:val="590000"/>
          <w:sz w:val="32"/>
          <w:szCs w:val="32"/>
          <w:cs/>
        </w:rPr>
        <w:t>ฝ่ายทรัพยากรบุคคลและบริหารทั่วไป</w:t>
      </w:r>
      <w:r w:rsidR="00DE566E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(</w:t>
      </w:r>
      <w:r w:rsidR="00DE566E" w:rsidRPr="00DE566E">
        <w:rPr>
          <w:rFonts w:ascii="TH SarabunPSK" w:hAnsi="TH SarabunPSK" w:cs="TH SarabunPSK"/>
          <w:color w:val="590000"/>
          <w:sz w:val="32"/>
          <w:szCs w:val="32"/>
          <w:cs/>
        </w:rPr>
        <w:t>ส่วนทรัพยากรบุคคล)</w:t>
      </w:r>
      <w:r w:rsidR="00DE566E">
        <w:rPr>
          <w:rFonts w:ascii="TH SarabunPSK" w:hAnsi="TH SarabunPSK" w:cs="TH SarabunPSK" w:hint="cs"/>
          <w:color w:val="590000"/>
          <w:sz w:val="32"/>
          <w:szCs w:val="32"/>
          <w:cs/>
        </w:rPr>
        <w:t>)</w:t>
      </w:r>
    </w:p>
    <w:tbl>
      <w:tblPr>
        <w:tblStyle w:val="GridTable4-Accent21"/>
        <w:tblpPr w:leftFromText="180" w:rightFromText="180" w:vertAnchor="page" w:horzAnchor="margin" w:tblpX="-856" w:tblpY="2825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616"/>
        <w:gridCol w:w="954"/>
        <w:gridCol w:w="566"/>
        <w:gridCol w:w="533"/>
        <w:gridCol w:w="567"/>
        <w:gridCol w:w="603"/>
        <w:gridCol w:w="566"/>
        <w:gridCol w:w="527"/>
        <w:gridCol w:w="566"/>
        <w:gridCol w:w="487"/>
        <w:gridCol w:w="2834"/>
        <w:gridCol w:w="1320"/>
        <w:gridCol w:w="694"/>
        <w:gridCol w:w="700"/>
        <w:gridCol w:w="687"/>
        <w:gridCol w:w="686"/>
      </w:tblGrid>
      <w:tr w:rsidR="00DE566E" w:rsidRPr="008F6400" w14:paraId="2EB0ED11" w14:textId="2AF64189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D9BE21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541843" wp14:editId="2C33AB51">
                      <wp:simplePos x="0" y="0"/>
                      <wp:positionH relativeFrom="column">
                        <wp:posOffset>8265795</wp:posOffset>
                      </wp:positionH>
                      <wp:positionV relativeFrom="paragraph">
                        <wp:posOffset>6003290</wp:posOffset>
                      </wp:positionV>
                      <wp:extent cx="1064895" cy="581891"/>
                      <wp:effectExtent l="0" t="0" r="1905" b="8890"/>
                      <wp:wrapNone/>
                      <wp:docPr id="277" name="Rectang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5818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29C3C" id="Rectangle 277" o:spid="_x0000_s1026" style="position:absolute;margin-left:650.85pt;margin-top:472.7pt;width:83.85pt;height:45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" fillcolor="window" stroked="f" strokeweight="2pt"/>
                  </w:pict>
                </mc:Fallback>
              </mc:AlternateConten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ลำดับ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5FAD4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ตัวชี้วัดความเสี่ยง (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Key Risk indicators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: 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KRI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6C2CC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หน่วยนับ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EBF5AF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เป้าหมายตัวชี้วัด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3D11CA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รายละเอียดการดำเนินงาน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515BED" w14:textId="24797DED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ปัญหาอุปสรรค/แนวทางแก้ไข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407AB9" w14:textId="768E4070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</w:t>
            </w:r>
            <w:r w:rsidR="00C30B4B" w:rsidRPr="00C30B4B">
              <w:rPr>
                <w:rFonts w:ascii="TH SarabunPSK" w:hAnsi="TH SarabunPSK" w:cs="TH SarabunPSK" w:hint="cs"/>
                <w:color w:val="000000" w:themeColor="text1"/>
                <w:szCs w:val="22"/>
                <w:u w:val="single"/>
                <w:cs/>
              </w:rPr>
              <w:t>ก่อน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3CE296" w14:textId="2F6421A8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ระดับความเสี่ยงคงเหลือ</w:t>
            </w:r>
            <w:r w:rsidRPr="00C30B4B">
              <w:rPr>
                <w:rFonts w:ascii="TH SarabunPSK" w:hAnsi="TH SarabunPSK" w:cs="TH SarabunPSK"/>
                <w:color w:val="000000" w:themeColor="text1"/>
                <w:szCs w:val="22"/>
                <w:u w:val="single"/>
                <w:cs/>
              </w:rPr>
              <w:t>หลัง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</w:tr>
      <w:tr w:rsidR="00DE566E" w:rsidRPr="008F6400" w14:paraId="437BC407" w14:textId="6ECD68B6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158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156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E96E51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39C661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7C76D8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E7FCD6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DB5258" w14:textId="77777777" w:rsidR="00E41066" w:rsidRPr="00C30B4B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2C11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DE3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4BD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EE40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87E6B" w:rsidRPr="008F6400" w14:paraId="1B1DDCD2" w14:textId="2B5EE8E4" w:rsidTr="006158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150" w14:textId="77777777" w:rsidR="00C30B4B" w:rsidRPr="008F6400" w:rsidRDefault="00C30B4B" w:rsidP="00C30B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2ED" w14:textId="77777777" w:rsidR="00C30B4B" w:rsidRPr="008F6400" w:rsidRDefault="00C30B4B" w:rsidP="00C30B4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9120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90D46DB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63E4F2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530A4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D407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F601CA9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382EAC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636DE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CF73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A658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46E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8ACF1A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37D61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7F368B" w14:textId="12B5A74A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192BEC" w14:textId="5DDF77B8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</w:tr>
      <w:tr w:rsidR="00487E6B" w:rsidRPr="008F6400" w14:paraId="29D0A0DD" w14:textId="27B6E64F" w:rsidTr="006158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auto"/>
            </w:tcBorders>
          </w:tcPr>
          <w:p w14:paraId="63AD264D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26CEC75E" w14:textId="21BD6940" w:rsidR="00E41066" w:rsidRPr="00487E6B" w:rsidRDefault="00487E6B" w:rsidP="00487E6B">
            <w:pPr>
              <w:ind w:left="-70" w:firstLine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pacing w:val="-6"/>
                <w:sz w:val="28"/>
              </w:rPr>
            </w:pPr>
            <w:r w:rsidRPr="00487E6B">
              <w:rPr>
                <w:rFonts w:ascii="TH SarabunPSK" w:hAnsi="TH SarabunPSK" w:cs="TH SarabunPSK"/>
                <w:color w:val="000000" w:themeColor="text1"/>
                <w:spacing w:val="-6"/>
                <w:sz w:val="28"/>
                <w:cs/>
              </w:rPr>
              <w:t xml:space="preserve">สัดส่วนแผน </w:t>
            </w:r>
            <w:r w:rsidRPr="00487E6B">
              <w:rPr>
                <w:rFonts w:ascii="TH SarabunPSK" w:hAnsi="TH SarabunPSK" w:cs="TH SarabunPSK"/>
                <w:color w:val="000000" w:themeColor="text1"/>
                <w:spacing w:val="-6"/>
                <w:sz w:val="28"/>
              </w:rPr>
              <w:t xml:space="preserve">IDP </w:t>
            </w:r>
            <w:r w:rsidRPr="00487E6B">
              <w:rPr>
                <w:rFonts w:ascii="TH SarabunPSK" w:hAnsi="TH SarabunPSK" w:cs="TH SarabunPSK"/>
                <w:color w:val="000000" w:themeColor="text1"/>
                <w:spacing w:val="-6"/>
                <w:sz w:val="28"/>
                <w:cs/>
              </w:rPr>
              <w:t>ที่ได้รับการอนุมัติและเริ่มดำเนินการตามแผนเทียบกับจำนวนบุคลากรทั้งหมด (สายปฏิบัติการ)</w:t>
            </w:r>
            <w:r w:rsidR="00DE566E" w:rsidRPr="00DE566E">
              <w:rPr>
                <w:rFonts w:ascii="TH SarabunPSK" w:hAnsi="TH SarabunPSK" w:cs="TH SarabunPSK"/>
                <w:color w:val="000000" w:themeColor="text1"/>
                <w:spacing w:val="-6"/>
                <w:sz w:val="28"/>
              </w:rPr>
              <w:t xml:space="preserve">  </w:t>
            </w:r>
            <w:r w:rsidR="00E41066"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</w:t>
            </w:r>
          </w:p>
          <w:p w14:paraId="030FF25E" w14:textId="77777777" w:rsidR="00DE566E" w:rsidRDefault="00DE566E" w:rsidP="00487E6B">
            <w:pPr>
              <w:ind w:left="-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</w:pPr>
            <w:r w:rsidRPr="00C30B4B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DE566E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ฝ่ายทรัพยากรบุคคล</w:t>
            </w:r>
          </w:p>
          <w:p w14:paraId="2744058E" w14:textId="77777777" w:rsidR="00DE566E" w:rsidRDefault="00DE566E" w:rsidP="00487E6B">
            <w:pPr>
              <w:ind w:left="-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</w:pPr>
            <w:r w:rsidRPr="00DE566E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และบริหารทั่วไป</w:t>
            </w:r>
            <w:r w:rsidRPr="00DE566E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  <w:t xml:space="preserve">, </w:t>
            </w:r>
            <w:r w:rsidRPr="00DE566E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ส่วนทรัพยากร</w:t>
            </w:r>
          </w:p>
          <w:p w14:paraId="03E0288F" w14:textId="6F35EE0A" w:rsidR="00DE566E" w:rsidRPr="00487E6B" w:rsidRDefault="00DE566E" w:rsidP="00487E6B">
            <w:pPr>
              <w:ind w:left="-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DE566E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บุคคล</w:t>
            </w:r>
            <w:r>
              <w:rPr>
                <w:rFonts w:ascii="TH SarabunPSK" w:hAnsi="TH SarabunPSK" w:cs="TH SarabunPSK" w:hint="cs"/>
                <w:b/>
                <w:bCs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14:paraId="498099C4" w14:textId="459B3B12" w:rsidR="00E41066" w:rsidRPr="008F6400" w:rsidRDefault="00487E6B" w:rsidP="008F6400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14:paraId="6597C74C" w14:textId="3C54E736" w:rsidR="00E41066" w:rsidRPr="008F6400" w:rsidRDefault="00487E6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</w:tcBorders>
          </w:tcPr>
          <w:p w14:paraId="0AC59950" w14:textId="77777777" w:rsidR="00E41066" w:rsidRPr="00C30B4B" w:rsidRDefault="00E41066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997385A" w14:textId="111B32C6" w:rsidR="00E41066" w:rsidRPr="008F6400" w:rsidRDefault="00487E6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959A792" w14:textId="77777777" w:rsidR="00E41066" w:rsidRPr="00C30B4B" w:rsidRDefault="00E41066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F7E3B79" w14:textId="16716ED7" w:rsidR="00E41066" w:rsidRPr="008F6400" w:rsidRDefault="00487E6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BC439C" w14:textId="77777777" w:rsidR="00E41066" w:rsidRPr="00C30B4B" w:rsidRDefault="00E41066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CF6AE3A" w14:textId="2854B729" w:rsidR="00E41066" w:rsidRPr="00C30B4B" w:rsidRDefault="00487E6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 w:rsidRPr="00487E6B">
              <w:rPr>
                <w:rFonts w:ascii="TH SarabunPSK" w:hAnsi="TH SarabunPSK" w:cs="TH SarabunPSK"/>
                <w:color w:val="080886"/>
                <w:sz w:val="28"/>
                <w:cs/>
              </w:rPr>
              <w:t>≥20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E86D7B0" w14:textId="77777777" w:rsidR="00E41066" w:rsidRPr="00C30B4B" w:rsidRDefault="00E41066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260D5514" w14:textId="77777777" w:rsidR="00E41066" w:rsidRPr="008F6400" w:rsidRDefault="00E41066" w:rsidP="008F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6885A772" w14:textId="77777777" w:rsidR="00E41066" w:rsidRPr="008F6400" w:rsidRDefault="00E41066" w:rsidP="008F6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6A75AFAE" w14:textId="77777777" w:rsidR="00E41066" w:rsidRPr="008F6400" w:rsidRDefault="00E41066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</w:tcBorders>
          </w:tcPr>
          <w:p w14:paraId="3FE19C4C" w14:textId="249EDD59" w:rsidR="00E41066" w:rsidRPr="008F6400" w:rsidRDefault="00487E6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5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14:paraId="4D35F3A3" w14:textId="4114B2C2" w:rsidR="00E41066" w:rsidRPr="008F6400" w:rsidRDefault="00487E6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</w:tcPr>
          <w:p w14:paraId="40599761" w14:textId="40E72562" w:rsidR="00E41066" w:rsidRPr="008F6400" w:rsidRDefault="00C30B4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2EAE3BFE" w14:textId="2FFE64E4" w:rsidR="00E41066" w:rsidRPr="008F6400" w:rsidRDefault="00C30B4B" w:rsidP="008F6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......</w:t>
            </w:r>
          </w:p>
        </w:tc>
      </w:tr>
      <w:tr w:rsidR="00487E6B" w:rsidRPr="008F6400" w14:paraId="4DFE82B0" w14:textId="6D404A33" w:rsidTr="00615830">
        <w:trPr>
          <w:trHeight w:val="1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43B8004C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68228E44" w14:textId="77777777" w:rsidR="00487E6B" w:rsidRDefault="00487E6B" w:rsidP="00615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7E6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ระดับความพึงพอใจ/ผูกพันองค์กร (</w:t>
            </w:r>
            <w:r w:rsidRPr="00487E6B">
              <w:rPr>
                <w:rFonts w:ascii="TH SarabunPSK" w:hAnsi="TH SarabunPSK" w:cs="TH SarabunPSK"/>
                <w:color w:val="000000" w:themeColor="text1"/>
                <w:sz w:val="28"/>
              </w:rPr>
              <w:t>Employee Engagement)</w:t>
            </w:r>
          </w:p>
          <w:p w14:paraId="0F9794C5" w14:textId="1000302C" w:rsidR="00615830" w:rsidRPr="008F6400" w:rsidRDefault="00615830" w:rsidP="00615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 w:hint="cs"/>
                <w:color w:val="7030A0"/>
                <w:sz w:val="28"/>
                <w:cs/>
              </w:rPr>
            </w:pPr>
            <w:r w:rsidRPr="00615830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(ผู้รับผิดชอบ : ฝ่ายทรัพยากรบุคคลและบริหารทั่วไป</w:t>
            </w:r>
            <w:r w:rsidRPr="00615830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  <w:t xml:space="preserve">, </w:t>
            </w:r>
            <w:r w:rsidRPr="00615830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ส่วนทรัพยากรบุคคล)</w:t>
            </w:r>
          </w:p>
        </w:tc>
        <w:tc>
          <w:tcPr>
            <w:tcW w:w="954" w:type="dxa"/>
          </w:tcPr>
          <w:p w14:paraId="453313BF" w14:textId="1E1E3FC9" w:rsidR="00E41066" w:rsidRPr="008F6400" w:rsidRDefault="00487E6B" w:rsidP="008F6400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คะแนน</w:t>
            </w:r>
          </w:p>
        </w:tc>
        <w:tc>
          <w:tcPr>
            <w:tcW w:w="566" w:type="dxa"/>
          </w:tcPr>
          <w:p w14:paraId="5389597B" w14:textId="08B95250" w:rsidR="00E41066" w:rsidRPr="008F6400" w:rsidRDefault="00615830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33" w:type="dxa"/>
          </w:tcPr>
          <w:p w14:paraId="573AAE61" w14:textId="77777777" w:rsidR="00E41066" w:rsidRPr="00F62698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140B242" w14:textId="4F140C68" w:rsidR="00E41066" w:rsidRPr="008F6400" w:rsidRDefault="00487E6B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 w:rsidRPr="00487E6B">
              <w:rPr>
                <w:rFonts w:ascii="TH SarabunPSK" w:hAnsi="TH SarabunPSK" w:cs="TH SarabunPSK"/>
                <w:color w:val="080886"/>
                <w:sz w:val="28"/>
                <w:cs/>
              </w:rPr>
              <w:t>≥67</w:t>
            </w:r>
          </w:p>
        </w:tc>
        <w:tc>
          <w:tcPr>
            <w:tcW w:w="603" w:type="dxa"/>
            <w:shd w:val="clear" w:color="auto" w:fill="D9D9D9" w:themeFill="background1" w:themeFillShade="D9"/>
          </w:tcPr>
          <w:p w14:paraId="2A033A7C" w14:textId="77777777" w:rsidR="00E41066" w:rsidRPr="00C30B4B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58E77CD7" w14:textId="59001C2B" w:rsidR="00E41066" w:rsidRPr="008F6400" w:rsidRDefault="00615830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27" w:type="dxa"/>
            <w:shd w:val="clear" w:color="auto" w:fill="D9D9D9" w:themeFill="background1" w:themeFillShade="D9"/>
          </w:tcPr>
          <w:p w14:paraId="43AD289F" w14:textId="77777777" w:rsidR="00E41066" w:rsidRPr="00C30B4B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64FC3C1E" w14:textId="524DB17D" w:rsidR="00E41066" w:rsidRPr="00C30B4B" w:rsidRDefault="00487E6B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  <w:p w14:paraId="3B9B3B5E" w14:textId="77777777" w:rsidR="00E41066" w:rsidRPr="00C30B4B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14:paraId="4D415146" w14:textId="77777777" w:rsidR="00E41066" w:rsidRPr="00C30B4B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</w:tcPr>
          <w:p w14:paraId="5DD7D93F" w14:textId="77777777" w:rsidR="00E41066" w:rsidRPr="008F6400" w:rsidRDefault="00E41066" w:rsidP="008F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3CB63887" w14:textId="77777777" w:rsidR="00E41066" w:rsidRPr="008F6400" w:rsidRDefault="00E41066" w:rsidP="008F6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</w:tcPr>
          <w:p w14:paraId="35A36970" w14:textId="77777777" w:rsidR="00E41066" w:rsidRPr="008F6400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/>
          </w:tcPr>
          <w:p w14:paraId="5910B1B9" w14:textId="77777777" w:rsidR="00E41066" w:rsidRPr="008F6400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700" w:type="dxa"/>
            <w:vMerge/>
          </w:tcPr>
          <w:p w14:paraId="707EDD59" w14:textId="77777777" w:rsidR="00E41066" w:rsidRPr="008F6400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</w:tcPr>
          <w:p w14:paraId="5A983F24" w14:textId="77777777" w:rsidR="00E41066" w:rsidRPr="008F6400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566B78F1" w14:textId="77777777" w:rsidR="00E41066" w:rsidRPr="008F6400" w:rsidRDefault="00E41066" w:rsidP="008F6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487E6B" w:rsidRPr="008F6400" w14:paraId="085DC10C" w14:textId="77777777" w:rsidTr="006158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4D10B959" w14:textId="0FC3AB86" w:rsidR="00487E6B" w:rsidRPr="008F6400" w:rsidRDefault="00487E6B" w:rsidP="00487E6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50668739" w14:textId="77777777" w:rsidR="00487E6B" w:rsidRDefault="00487E6B" w:rsidP="00487E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7E6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ระดับความสำเร็จในการจัดทำ </w:t>
            </w:r>
            <w:r w:rsidRPr="00487E6B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Succession Plan </w:t>
            </w:r>
            <w:r w:rsidRPr="00487E6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สำหรับ </w:t>
            </w:r>
            <w:r w:rsidRPr="00487E6B">
              <w:rPr>
                <w:rFonts w:ascii="TH SarabunPSK" w:hAnsi="TH SarabunPSK" w:cs="TH SarabunPSK"/>
                <w:color w:val="000000" w:themeColor="text1"/>
                <w:sz w:val="28"/>
              </w:rPr>
              <w:t>Critical Position</w:t>
            </w:r>
          </w:p>
          <w:p w14:paraId="15A35E0E" w14:textId="085E7B17" w:rsidR="00487E6B" w:rsidRPr="00487E6B" w:rsidRDefault="00487E6B" w:rsidP="00487E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615830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(ผู้รับผิดชอบ : ฝ่ายทรัพยากรบุคคลและบริหารทั่วไป</w:t>
            </w:r>
            <w:r w:rsidRPr="00615830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  <w:t xml:space="preserve">, </w:t>
            </w:r>
            <w:r w:rsidRPr="00615830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ส่วนทรัพยากรบุคคล)</w:t>
            </w:r>
          </w:p>
        </w:tc>
        <w:tc>
          <w:tcPr>
            <w:tcW w:w="954" w:type="dxa"/>
          </w:tcPr>
          <w:p w14:paraId="375C06F1" w14:textId="2272187D" w:rsidR="00487E6B" w:rsidRDefault="00487E6B" w:rsidP="00487E6B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</w:tcPr>
          <w:p w14:paraId="60832CCE" w14:textId="505CF713" w:rsidR="00487E6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10</w:t>
            </w:r>
          </w:p>
        </w:tc>
        <w:tc>
          <w:tcPr>
            <w:tcW w:w="533" w:type="dxa"/>
          </w:tcPr>
          <w:p w14:paraId="235AD233" w14:textId="23A506F2" w:rsidR="00487E6B" w:rsidRPr="00F62698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E3EAF90" w14:textId="14489A5A" w:rsidR="00487E6B" w:rsidRPr="00487E6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20</w:t>
            </w:r>
          </w:p>
        </w:tc>
        <w:tc>
          <w:tcPr>
            <w:tcW w:w="603" w:type="dxa"/>
            <w:shd w:val="clear" w:color="auto" w:fill="D9D9D9" w:themeFill="background1" w:themeFillShade="D9"/>
          </w:tcPr>
          <w:p w14:paraId="75E21AA0" w14:textId="0DAEB212" w:rsidR="00487E6B" w:rsidRPr="00C30B4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7E245AF1" w14:textId="320F99F3" w:rsidR="00487E6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30</w:t>
            </w:r>
          </w:p>
        </w:tc>
        <w:tc>
          <w:tcPr>
            <w:tcW w:w="527" w:type="dxa"/>
            <w:shd w:val="clear" w:color="auto" w:fill="D9D9D9" w:themeFill="background1" w:themeFillShade="D9"/>
          </w:tcPr>
          <w:p w14:paraId="53C1C244" w14:textId="3FC76AD5" w:rsidR="00487E6B" w:rsidRPr="00C30B4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605A323D" w14:textId="04F1850A" w:rsidR="00487E6B" w:rsidRPr="00C30B4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40</w:t>
            </w:r>
          </w:p>
          <w:p w14:paraId="4B468823" w14:textId="77777777" w:rsidR="00487E6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 w:hint="cs"/>
                <w:color w:val="080886"/>
                <w:sz w:val="28"/>
                <w:cs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</w:tcPr>
          <w:p w14:paraId="6BE193F5" w14:textId="7F463C3A" w:rsidR="00487E6B" w:rsidRPr="00C30B4B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</w:tcPr>
          <w:p w14:paraId="5A095DDD" w14:textId="77777777" w:rsidR="00487E6B" w:rsidRPr="008F6400" w:rsidRDefault="00487E6B" w:rsidP="00487E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47F617C3" w14:textId="3462D727" w:rsidR="00487E6B" w:rsidRPr="008F6400" w:rsidRDefault="00487E6B" w:rsidP="00487E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</w:tcPr>
          <w:p w14:paraId="46FA741F" w14:textId="7A001CD6" w:rsidR="00487E6B" w:rsidRPr="008F6400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</w:tcPr>
          <w:p w14:paraId="1145B2C4" w14:textId="77777777" w:rsidR="00487E6B" w:rsidRPr="008F6400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700" w:type="dxa"/>
          </w:tcPr>
          <w:p w14:paraId="39E7B317" w14:textId="77777777" w:rsidR="00487E6B" w:rsidRPr="008F6400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</w:tcPr>
          <w:p w14:paraId="08CE4171" w14:textId="77777777" w:rsidR="00487E6B" w:rsidRPr="008F6400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6BB1357C" w14:textId="77777777" w:rsidR="00487E6B" w:rsidRPr="008F6400" w:rsidRDefault="00487E6B" w:rsidP="00487E6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</w:tbl>
    <w:p w14:paraId="105EBAD6" w14:textId="77777777" w:rsidR="00DE566E" w:rsidRDefault="00DE566E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u w:val="single"/>
        </w:rPr>
      </w:pPr>
    </w:p>
    <w:p w14:paraId="303D2606" w14:textId="77777777" w:rsidR="00DE566E" w:rsidRDefault="00DE566E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u w:val="single"/>
        </w:rPr>
      </w:pPr>
    </w:p>
    <w:p w14:paraId="5CFB7C73" w14:textId="1D325D97" w:rsidR="00B530D0" w:rsidRDefault="00704EE0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704EE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lastRenderedPageBreak/>
        <w:t>หมายเหตุ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</w:t>
      </w:r>
      <w:r w:rsidRPr="00704EE0">
        <w:rPr>
          <w:rFonts w:ascii="TH SarabunPSK" w:hAnsi="TH SarabunPSK" w:cs="TH SarabunPSK"/>
          <w:b/>
          <w:bCs/>
          <w:color w:val="590000"/>
          <w:sz w:val="28"/>
        </w:rPr>
        <w:t>: 1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) แผนบริหารความเสี่ยงและแนวทางการวิเคราะห์ระดับความเสี่ยงคงเหลือ </w:t>
      </w:r>
      <w:r w:rsidR="00B7028D">
        <w:rPr>
          <w:rFonts w:ascii="TH SarabunPSK" w:hAnsi="TH SarabunPSK" w:cs="TH SarabunPSK" w:hint="cs"/>
          <w:b/>
          <w:bCs/>
          <w:color w:val="590000"/>
          <w:sz w:val="28"/>
          <w:cs/>
        </w:rPr>
        <w:t>สามารถดาวโหลดได้ที่หน้าเว็บไซต์ส่วนแผนงาน</w:t>
      </w:r>
    </w:p>
    <w:p w14:paraId="0EB8BA4C" w14:textId="33BDF166" w:rsidR="00E14610" w:rsidRPr="00704EE0" w:rsidRDefault="00704EE0" w:rsidP="00B530D0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B530D0">
        <w:rPr>
          <w:rFonts w:ascii="TH SarabunPSK" w:hAnsi="TH SarabunPSK" w:cs="TH SarabunPSK"/>
          <w:b/>
          <w:bCs/>
          <w:color w:val="590000"/>
          <w:sz w:val="6"/>
          <w:szCs w:val="6"/>
          <w:cs/>
        </w:rPr>
        <w:br/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             2) การให้ข้อมูลผลการดำเนินงานตามเป้าหมายตัวชี้วัด กรุณาระบุเป็นค่าสะสม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(ยกเว้นการกำหนดเป้าหมายเป็น</w:t>
      </w:r>
      <w:r w:rsidR="00B530D0" w:rsidRPr="00B530D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เป้าหมาย/ไตรมาส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>)</w:t>
      </w:r>
    </w:p>
    <w:p w14:paraId="45F1ABAE" w14:textId="77777777" w:rsidR="00E14610" w:rsidRPr="00E14610" w:rsidRDefault="00E14610" w:rsidP="00E96A6F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E14610" w:rsidRPr="00E14610" w:rsidSect="00D01DEB"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C7"/>
    <w:rsid w:val="00017576"/>
    <w:rsid w:val="000848C7"/>
    <w:rsid w:val="003131CF"/>
    <w:rsid w:val="003306A3"/>
    <w:rsid w:val="004222C3"/>
    <w:rsid w:val="00487E6B"/>
    <w:rsid w:val="00615830"/>
    <w:rsid w:val="00704EE0"/>
    <w:rsid w:val="007E5C4E"/>
    <w:rsid w:val="008564EF"/>
    <w:rsid w:val="008F6400"/>
    <w:rsid w:val="00A760FF"/>
    <w:rsid w:val="00A96270"/>
    <w:rsid w:val="00B530D0"/>
    <w:rsid w:val="00B7028D"/>
    <w:rsid w:val="00C30B4B"/>
    <w:rsid w:val="00D01DEB"/>
    <w:rsid w:val="00DE566E"/>
    <w:rsid w:val="00E14610"/>
    <w:rsid w:val="00E2425B"/>
    <w:rsid w:val="00E41066"/>
    <w:rsid w:val="00E43249"/>
    <w:rsid w:val="00E62C70"/>
    <w:rsid w:val="00E96A6F"/>
    <w:rsid w:val="00EC4DEF"/>
    <w:rsid w:val="00F6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1EB2"/>
  <w15:chartTrackingRefBased/>
  <w15:docId w15:val="{6EE95B3E-979F-4A72-9BBE-39304528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8C7"/>
    <w:pPr>
      <w:spacing w:after="200" w:line="276" w:lineRule="auto"/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0848C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-Accent213">
    <w:name w:val="Grid Table 4 - Accent 213"/>
    <w:basedOn w:val="TableNormal"/>
    <w:uiPriority w:val="49"/>
    <w:rsid w:val="00DE566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</Words>
  <Characters>1376</Characters>
  <Application>Microsoft Office Word</Application>
  <DocSecurity>0</DocSecurity>
  <Lines>137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KRITTIMA PHETBUD</cp:lastModifiedBy>
  <cp:revision>4</cp:revision>
  <dcterms:created xsi:type="dcterms:W3CDTF">2024-12-11T08:18:00Z</dcterms:created>
  <dcterms:modified xsi:type="dcterms:W3CDTF">2025-12-17T02:42:00Z</dcterms:modified>
</cp:coreProperties>
</file>